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64C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686D0B85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3A5FD65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09AFA0F4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31BE6B16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11EF88A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4C31C643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C8FC332" w14:textId="7777777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E0F8B">
        <w:rPr>
          <w:rFonts w:ascii="Times New Roman" w:hAnsi="Times New Roman" w:cs="Times New Roman"/>
        </w:rPr>
        <w:t>, a partir das 12</w:t>
      </w:r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22401A40" w14:textId="34CDAC82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86299E">
        <w:rPr>
          <w:rFonts w:ascii="Times New Roman" w:hAnsi="Times New Roman" w:cs="Times New Roman"/>
          <w:color w:val="FF0000"/>
        </w:rPr>
        <w:t>12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86299E">
        <w:rPr>
          <w:rFonts w:ascii="Times New Roman" w:hAnsi="Times New Roman" w:cs="Times New Roman"/>
        </w:rPr>
        <w:t>INPC e de juros de 1% ao mês</w:t>
      </w:r>
      <w:r w:rsidR="00BF696F" w:rsidRPr="00183926">
        <w:rPr>
          <w:rFonts w:ascii="Times New Roman" w:hAnsi="Times New Roman" w:cs="Times New Roman"/>
        </w:rPr>
        <w:t xml:space="preserve"> </w:t>
      </w:r>
      <w:r w:rsidR="0086299E">
        <w:rPr>
          <w:rFonts w:ascii="Times New Roman" w:hAnsi="Times New Roman" w:cs="Times New Roman"/>
        </w:rPr>
        <w:t xml:space="preserve">(aplicação analógica do parcelamento previsto no art. 895, do CPC). </w:t>
      </w:r>
      <w:r w:rsidR="00BF696F" w:rsidRPr="00183926">
        <w:rPr>
          <w:rFonts w:ascii="Times New Roman" w:hAnsi="Times New Roman" w:cs="Times New Roman"/>
        </w:rPr>
        <w:t xml:space="preserve">Tanto a entrada de 25% (vinte e cinco por cento) quanto as parcelas mensais posteriores serão depositadas diretamente na SUBCONTA vinculada a estes Autos. </w:t>
      </w:r>
    </w:p>
    <w:p w14:paraId="103BCEDD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617B9DF2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5E672674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363B0C4E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1253CFD9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86299E"/>
    <w:rsid w:val="009077B0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3BC9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2</cp:revision>
  <cp:lastPrinted>2019-05-27T13:54:00Z</cp:lastPrinted>
  <dcterms:created xsi:type="dcterms:W3CDTF">2022-09-01T14:30:00Z</dcterms:created>
  <dcterms:modified xsi:type="dcterms:W3CDTF">2022-09-01T14:30:00Z</dcterms:modified>
</cp:coreProperties>
</file>